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5AB" w:rsidRPr="00E93523" w:rsidRDefault="00255EED" w:rsidP="008F45AB">
      <w:pPr>
        <w:ind w:firstLine="0"/>
        <w:jc w:val="center"/>
        <w:rPr>
          <w:b/>
        </w:rPr>
      </w:pPr>
      <w:r>
        <w:rPr>
          <w:b/>
        </w:rPr>
        <w:t>Краткие м</w:t>
      </w:r>
      <w:r w:rsidR="008F45AB" w:rsidRPr="00E93523">
        <w:rPr>
          <w:b/>
        </w:rPr>
        <w:t>етодические рекомендации</w:t>
      </w:r>
      <w:r w:rsidRPr="00255EED">
        <w:rPr>
          <w:b/>
        </w:rPr>
        <w:t xml:space="preserve"> для экспертов</w:t>
      </w:r>
    </w:p>
    <w:p w:rsidR="00653410" w:rsidRDefault="00255EED" w:rsidP="008F45AB">
      <w:pPr>
        <w:ind w:firstLine="0"/>
        <w:jc w:val="center"/>
      </w:pPr>
      <w:r>
        <w:t>п</w:t>
      </w:r>
      <w:r w:rsidR="008F45AB">
        <w:t>о</w:t>
      </w:r>
      <w:r>
        <w:t xml:space="preserve"> отбору</w:t>
      </w:r>
      <w:r w:rsidR="008F45AB">
        <w:t xml:space="preserve"> лучших практик по применению (внедрению в деятельность) пространственных данных, данных дистанционного зондирования </w:t>
      </w:r>
      <w:r w:rsidR="003E1667">
        <w:t>З</w:t>
      </w:r>
      <w:r w:rsidR="008F45AB">
        <w:t xml:space="preserve">емли и </w:t>
      </w:r>
      <w:r w:rsidR="000D0095">
        <w:t>гео</w:t>
      </w:r>
      <w:r w:rsidR="008F45AB">
        <w:t>информационных технологий, а также услуг, сервисов и продуктов, созданных на их основе</w:t>
      </w:r>
    </w:p>
    <w:p w:rsidR="007E517F" w:rsidRDefault="007E517F" w:rsidP="00D00FED">
      <w:pPr>
        <w:tabs>
          <w:tab w:val="left" w:pos="3765"/>
        </w:tabs>
      </w:pPr>
    </w:p>
    <w:p w:rsidR="007E517F" w:rsidRDefault="007E517F" w:rsidP="00D00FED">
      <w:pPr>
        <w:tabs>
          <w:tab w:val="left" w:pos="3765"/>
        </w:tabs>
      </w:pPr>
    </w:p>
    <w:p w:rsidR="006565CF" w:rsidRDefault="001D25C1" w:rsidP="00FA27EF">
      <w:pPr>
        <w:ind w:firstLine="0"/>
        <w:jc w:val="center"/>
        <w:rPr>
          <w:b/>
        </w:rPr>
      </w:pPr>
      <w:r>
        <w:rPr>
          <w:b/>
        </w:rPr>
        <w:t>1</w:t>
      </w:r>
      <w:r w:rsidR="006565CF" w:rsidRPr="00FA27EF">
        <w:rPr>
          <w:b/>
        </w:rPr>
        <w:t>. Отбор лучш</w:t>
      </w:r>
      <w:r w:rsidR="00FA35DE" w:rsidRPr="00FA27EF">
        <w:rPr>
          <w:b/>
        </w:rPr>
        <w:t>их</w:t>
      </w:r>
      <w:r w:rsidR="006565CF" w:rsidRPr="00FA27EF">
        <w:rPr>
          <w:b/>
        </w:rPr>
        <w:t xml:space="preserve"> практик</w:t>
      </w:r>
    </w:p>
    <w:p w:rsidR="004C517C" w:rsidRDefault="004C517C" w:rsidP="004C517C">
      <w:r w:rsidRPr="004C517C">
        <w:t xml:space="preserve">Отбор лучших практик проводится методом очно-заочного экспертного опроса. </w:t>
      </w:r>
    </w:p>
    <w:p w:rsidR="004C517C" w:rsidRDefault="004C517C" w:rsidP="004C517C">
      <w:r>
        <w:t xml:space="preserve">Группа экспертов для проведения отбора формируется в количестве не менее 7 человек и не более 10 человек. </w:t>
      </w:r>
    </w:p>
    <w:p w:rsidR="004C517C" w:rsidRDefault="007E517F" w:rsidP="004C517C">
      <w:r>
        <w:t>Отбор</w:t>
      </w:r>
      <w:r w:rsidR="00FA35DE">
        <w:t xml:space="preserve"> лучших практик проводится в соответствии с критериями, </w:t>
      </w:r>
      <w:r w:rsidR="00255EED">
        <w:t xml:space="preserve">указанными в таблице 1, </w:t>
      </w:r>
      <w:r w:rsidR="00FA35DE">
        <w:t>которые разделяются на</w:t>
      </w:r>
      <w:r w:rsidR="006E5217">
        <w:t xml:space="preserve"> наиболее значимые</w:t>
      </w:r>
      <w:r w:rsidR="00FA35DE">
        <w:t xml:space="preserve"> и значимые.</w:t>
      </w:r>
      <w:r w:rsidR="004C517C" w:rsidRPr="004C517C">
        <w:t xml:space="preserve"> </w:t>
      </w:r>
      <w:r w:rsidR="004C517C">
        <w:t xml:space="preserve">Эксперты оценивают наиболее значимые критерии оценки по шкале от 1 до 5 баллов, значимые – по шкале от 1 до 3 баллов. </w:t>
      </w:r>
    </w:p>
    <w:p w:rsidR="00946251" w:rsidRDefault="00946251" w:rsidP="00946251">
      <w:pPr>
        <w:ind w:firstLine="0"/>
      </w:pPr>
      <w:r>
        <w:t>Таблица 1 – Критерии и шкала экспертных оценок практик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980"/>
        <w:gridCol w:w="7364"/>
      </w:tblGrid>
      <w:tr w:rsidR="00946251" w:rsidTr="0051148D">
        <w:trPr>
          <w:tblHeader/>
        </w:trPr>
        <w:tc>
          <w:tcPr>
            <w:tcW w:w="1980" w:type="dxa"/>
          </w:tcPr>
          <w:p w:rsidR="00946251" w:rsidRDefault="00946251" w:rsidP="00C117FB">
            <w:pPr>
              <w:ind w:firstLine="0"/>
              <w:jc w:val="center"/>
            </w:pPr>
            <w:r>
              <w:t>Критерии оценки</w:t>
            </w:r>
          </w:p>
        </w:tc>
        <w:tc>
          <w:tcPr>
            <w:tcW w:w="7364" w:type="dxa"/>
          </w:tcPr>
          <w:p w:rsidR="00946251" w:rsidRDefault="00946251" w:rsidP="00C117FB">
            <w:pPr>
              <w:ind w:firstLine="0"/>
              <w:jc w:val="center"/>
            </w:pPr>
            <w:r>
              <w:t>Шкала оценки</w:t>
            </w:r>
          </w:p>
        </w:tc>
      </w:tr>
      <w:tr w:rsidR="00946251" w:rsidTr="004C517C">
        <w:tc>
          <w:tcPr>
            <w:tcW w:w="9344" w:type="dxa"/>
            <w:gridSpan w:val="2"/>
          </w:tcPr>
          <w:p w:rsidR="00946251" w:rsidRPr="00255EED" w:rsidRDefault="00946251" w:rsidP="00C117FB">
            <w:pPr>
              <w:ind w:firstLine="0"/>
              <w:jc w:val="center"/>
              <w:rPr>
                <w:sz w:val="20"/>
                <w:szCs w:val="20"/>
              </w:rPr>
            </w:pPr>
            <w:r w:rsidRPr="00255EED">
              <w:rPr>
                <w:sz w:val="20"/>
                <w:szCs w:val="20"/>
              </w:rPr>
              <w:t>Наиболее значимые критерии</w:t>
            </w:r>
          </w:p>
        </w:tc>
      </w:tr>
      <w:tr w:rsidR="007A0633" w:rsidTr="0051148D">
        <w:tc>
          <w:tcPr>
            <w:tcW w:w="1980" w:type="dxa"/>
          </w:tcPr>
          <w:p w:rsidR="007A0633" w:rsidRPr="00255EED" w:rsidRDefault="007A0633" w:rsidP="007A0633">
            <w:pPr>
              <w:ind w:firstLine="0"/>
              <w:jc w:val="left"/>
              <w:rPr>
                <w:sz w:val="20"/>
                <w:szCs w:val="20"/>
              </w:rPr>
            </w:pPr>
            <w:r w:rsidRPr="00255EED">
              <w:rPr>
                <w:sz w:val="20"/>
                <w:szCs w:val="20"/>
              </w:rPr>
              <w:t>Стратегическая направленность</w:t>
            </w:r>
          </w:p>
        </w:tc>
        <w:tc>
          <w:tcPr>
            <w:tcW w:w="7364" w:type="dxa"/>
          </w:tcPr>
          <w:p w:rsidR="007A0633" w:rsidRPr="00255EED" w:rsidRDefault="007A0633" w:rsidP="007A0633">
            <w:pPr>
              <w:ind w:firstLine="0"/>
              <w:jc w:val="center"/>
              <w:rPr>
                <w:sz w:val="20"/>
                <w:szCs w:val="20"/>
              </w:rPr>
            </w:pPr>
            <w:r w:rsidRPr="00255EED">
              <w:rPr>
                <w:sz w:val="20"/>
                <w:szCs w:val="20"/>
              </w:rPr>
              <w:t>0 баллов – практика не может быть использована в решении стратегических целей и задач в сфере научно-технологического развития, развития информационного общества и цифровой экономики;</w:t>
            </w:r>
          </w:p>
          <w:p w:rsidR="007A0633" w:rsidRPr="00255EED" w:rsidRDefault="007A0633" w:rsidP="007A0633">
            <w:pPr>
              <w:ind w:firstLine="0"/>
              <w:jc w:val="center"/>
              <w:rPr>
                <w:sz w:val="20"/>
                <w:szCs w:val="20"/>
              </w:rPr>
            </w:pPr>
            <w:r w:rsidRPr="00255EED">
              <w:rPr>
                <w:sz w:val="20"/>
                <w:szCs w:val="20"/>
              </w:rPr>
              <w:t>3 балла - практика может быть частично (при доработке) использована в решении стратегических целей и задач в сфере научно-технологического развития, развития информационного общества и цифровой экономики;</w:t>
            </w:r>
          </w:p>
          <w:p w:rsidR="007A0633" w:rsidRPr="00255EED" w:rsidRDefault="007A0633" w:rsidP="007A0633">
            <w:pPr>
              <w:ind w:firstLine="0"/>
              <w:jc w:val="center"/>
              <w:rPr>
                <w:sz w:val="20"/>
                <w:szCs w:val="20"/>
              </w:rPr>
            </w:pPr>
            <w:r w:rsidRPr="00255EED">
              <w:rPr>
                <w:sz w:val="20"/>
                <w:szCs w:val="20"/>
              </w:rPr>
              <w:t>5 баллов - практика полностью применима для решения стратегических целей и задач в сфере научно-технологического развития, развития информационного общества и цифровой экономики.</w:t>
            </w:r>
          </w:p>
        </w:tc>
      </w:tr>
      <w:tr w:rsidR="007A0633" w:rsidTr="0051148D">
        <w:tc>
          <w:tcPr>
            <w:tcW w:w="1980" w:type="dxa"/>
          </w:tcPr>
          <w:p w:rsidR="007A0633" w:rsidRPr="00255EED" w:rsidRDefault="007A0633" w:rsidP="007A0633">
            <w:pPr>
              <w:ind w:firstLine="0"/>
              <w:jc w:val="left"/>
              <w:rPr>
                <w:sz w:val="20"/>
                <w:szCs w:val="20"/>
              </w:rPr>
            </w:pPr>
            <w:r w:rsidRPr="00255EED">
              <w:rPr>
                <w:sz w:val="20"/>
                <w:szCs w:val="20"/>
              </w:rPr>
              <w:t>Инновационность</w:t>
            </w:r>
          </w:p>
        </w:tc>
        <w:tc>
          <w:tcPr>
            <w:tcW w:w="7364" w:type="dxa"/>
          </w:tcPr>
          <w:p w:rsidR="007A0633" w:rsidRPr="00255EED" w:rsidRDefault="007A0633" w:rsidP="007A0633">
            <w:pPr>
              <w:ind w:firstLine="0"/>
              <w:jc w:val="center"/>
              <w:rPr>
                <w:sz w:val="20"/>
                <w:szCs w:val="20"/>
              </w:rPr>
            </w:pPr>
            <w:r w:rsidRPr="00255EED">
              <w:rPr>
                <w:sz w:val="20"/>
                <w:szCs w:val="20"/>
              </w:rPr>
              <w:t>0 баллов – созданный практикой продукт не является новым или значительно усовершенствованным, не содержит новые или значительно усовершенствованные потребительские свойства, технологии, методики маркетинга, организационные и управленческие методы;</w:t>
            </w:r>
          </w:p>
          <w:p w:rsidR="007A0633" w:rsidRPr="00255EED" w:rsidRDefault="007A0633" w:rsidP="007A0633">
            <w:pPr>
              <w:ind w:firstLine="0"/>
              <w:jc w:val="center"/>
              <w:rPr>
                <w:sz w:val="20"/>
                <w:szCs w:val="20"/>
              </w:rPr>
            </w:pPr>
            <w:r w:rsidRPr="00255EED">
              <w:rPr>
                <w:sz w:val="20"/>
                <w:szCs w:val="20"/>
              </w:rPr>
              <w:t>3 балла – созданный практикой продукт содержит отдельные новые или частично усовершенствованные потребительские свойства, технологии, методики маркетинга, организационные и управленческие методы;</w:t>
            </w:r>
          </w:p>
          <w:p w:rsidR="007A0633" w:rsidRPr="00255EED" w:rsidRDefault="007A0633" w:rsidP="007A0633">
            <w:pPr>
              <w:ind w:firstLine="0"/>
              <w:jc w:val="center"/>
              <w:rPr>
                <w:sz w:val="20"/>
                <w:szCs w:val="20"/>
              </w:rPr>
            </w:pPr>
            <w:r w:rsidRPr="00255EED">
              <w:rPr>
                <w:sz w:val="20"/>
                <w:szCs w:val="20"/>
              </w:rPr>
              <w:t>5 баллов – созданный практикой продукт является инновационным, т.е. содержит новые или значительно усовершенствованные потребительские свойства, технологии, методики маркетинга, организационные и управленческие методы.</w:t>
            </w:r>
          </w:p>
        </w:tc>
      </w:tr>
      <w:tr w:rsidR="007A0633" w:rsidTr="0051148D">
        <w:tc>
          <w:tcPr>
            <w:tcW w:w="1980" w:type="dxa"/>
          </w:tcPr>
          <w:p w:rsidR="007A0633" w:rsidRPr="00255EED" w:rsidRDefault="007A0633" w:rsidP="007A0633">
            <w:pPr>
              <w:ind w:firstLine="0"/>
              <w:jc w:val="left"/>
              <w:rPr>
                <w:sz w:val="20"/>
                <w:szCs w:val="20"/>
              </w:rPr>
            </w:pPr>
            <w:r w:rsidRPr="00255EED">
              <w:rPr>
                <w:sz w:val="20"/>
                <w:szCs w:val="20"/>
              </w:rPr>
              <w:t>Масштабируемость</w:t>
            </w:r>
          </w:p>
        </w:tc>
        <w:tc>
          <w:tcPr>
            <w:tcW w:w="7364" w:type="dxa"/>
          </w:tcPr>
          <w:p w:rsidR="007A0633" w:rsidRPr="00255EED" w:rsidRDefault="007A0633" w:rsidP="007A0633">
            <w:pPr>
              <w:ind w:firstLine="0"/>
              <w:jc w:val="center"/>
              <w:rPr>
                <w:sz w:val="20"/>
                <w:szCs w:val="20"/>
              </w:rPr>
            </w:pPr>
            <w:r w:rsidRPr="00255EED">
              <w:rPr>
                <w:sz w:val="20"/>
                <w:szCs w:val="20"/>
              </w:rPr>
              <w:t>0 баллов – практика уникальна для конкретного региона, муниципального образования, отрасли, организации и не может быть масштабирована без существенной доработки;</w:t>
            </w:r>
          </w:p>
          <w:p w:rsidR="007A0633" w:rsidRPr="00255EED" w:rsidRDefault="007A0633" w:rsidP="007A0633">
            <w:pPr>
              <w:ind w:firstLine="0"/>
              <w:jc w:val="center"/>
              <w:rPr>
                <w:sz w:val="20"/>
                <w:szCs w:val="20"/>
              </w:rPr>
            </w:pPr>
            <w:r w:rsidRPr="00255EED">
              <w:rPr>
                <w:sz w:val="20"/>
                <w:szCs w:val="20"/>
              </w:rPr>
              <w:t>3 балла – практика может быть масштабирована на отдельные регионы, муниципальные образования, организации;</w:t>
            </w:r>
          </w:p>
          <w:p w:rsidR="007A0633" w:rsidRPr="00255EED" w:rsidRDefault="007A0633" w:rsidP="007A0633">
            <w:pPr>
              <w:ind w:firstLine="0"/>
              <w:jc w:val="center"/>
              <w:rPr>
                <w:sz w:val="20"/>
                <w:szCs w:val="20"/>
              </w:rPr>
            </w:pPr>
            <w:r w:rsidRPr="00255EED">
              <w:rPr>
                <w:sz w:val="20"/>
                <w:szCs w:val="20"/>
              </w:rPr>
              <w:t>5 баллов - практика может быть масштабирована на большинство регионов, муниципальных образований, отраслей.</w:t>
            </w:r>
          </w:p>
        </w:tc>
      </w:tr>
      <w:tr w:rsidR="007A0633" w:rsidTr="0051148D">
        <w:tc>
          <w:tcPr>
            <w:tcW w:w="1980" w:type="dxa"/>
          </w:tcPr>
          <w:p w:rsidR="007A0633" w:rsidRPr="00255EED" w:rsidRDefault="007A0633" w:rsidP="007A0633">
            <w:pPr>
              <w:ind w:firstLine="0"/>
              <w:jc w:val="left"/>
              <w:rPr>
                <w:sz w:val="20"/>
                <w:szCs w:val="20"/>
              </w:rPr>
            </w:pPr>
            <w:r w:rsidRPr="00255EED">
              <w:rPr>
                <w:sz w:val="20"/>
                <w:szCs w:val="20"/>
              </w:rPr>
              <w:t xml:space="preserve">Комплексность </w:t>
            </w:r>
          </w:p>
        </w:tc>
        <w:tc>
          <w:tcPr>
            <w:tcW w:w="7364" w:type="dxa"/>
          </w:tcPr>
          <w:p w:rsidR="007A0633" w:rsidRPr="00255EED" w:rsidRDefault="007A0633" w:rsidP="007A0633">
            <w:pPr>
              <w:ind w:firstLine="0"/>
              <w:jc w:val="center"/>
              <w:rPr>
                <w:sz w:val="20"/>
                <w:szCs w:val="20"/>
              </w:rPr>
            </w:pPr>
            <w:r w:rsidRPr="00255EED">
              <w:rPr>
                <w:sz w:val="20"/>
                <w:szCs w:val="20"/>
              </w:rPr>
              <w:t>0 баллов – продукт содержит ограниченную тематику данных и функции их обработки;</w:t>
            </w:r>
          </w:p>
          <w:p w:rsidR="007A0633" w:rsidRPr="00255EED" w:rsidRDefault="007A0633" w:rsidP="007A0633">
            <w:pPr>
              <w:ind w:firstLine="0"/>
              <w:jc w:val="center"/>
              <w:rPr>
                <w:sz w:val="20"/>
                <w:szCs w:val="20"/>
              </w:rPr>
            </w:pPr>
            <w:r w:rsidRPr="00255EED">
              <w:rPr>
                <w:sz w:val="20"/>
                <w:szCs w:val="20"/>
              </w:rPr>
              <w:t>3 балла – продукт содержит достаточную тематику данных и функции их обработки;</w:t>
            </w:r>
          </w:p>
          <w:p w:rsidR="007A0633" w:rsidRPr="00255EED" w:rsidRDefault="007A0633" w:rsidP="007A0633">
            <w:pPr>
              <w:ind w:firstLine="0"/>
              <w:jc w:val="center"/>
              <w:rPr>
                <w:sz w:val="20"/>
                <w:szCs w:val="20"/>
              </w:rPr>
            </w:pPr>
            <w:r w:rsidRPr="00255EED">
              <w:rPr>
                <w:sz w:val="20"/>
                <w:szCs w:val="20"/>
              </w:rPr>
              <w:t>5 баллов – продукт содержит значительную тематику данных и набор функций их обработки.</w:t>
            </w:r>
          </w:p>
        </w:tc>
      </w:tr>
      <w:tr w:rsidR="007A0633" w:rsidTr="0051148D">
        <w:tc>
          <w:tcPr>
            <w:tcW w:w="1980" w:type="dxa"/>
          </w:tcPr>
          <w:p w:rsidR="007A0633" w:rsidRPr="00255EED" w:rsidRDefault="007A0633" w:rsidP="007A0633">
            <w:pPr>
              <w:ind w:firstLine="0"/>
              <w:jc w:val="left"/>
              <w:rPr>
                <w:sz w:val="20"/>
                <w:szCs w:val="20"/>
              </w:rPr>
            </w:pPr>
            <w:r w:rsidRPr="00255EED">
              <w:rPr>
                <w:sz w:val="20"/>
                <w:szCs w:val="20"/>
              </w:rPr>
              <w:t>Результативность</w:t>
            </w:r>
          </w:p>
        </w:tc>
        <w:tc>
          <w:tcPr>
            <w:tcW w:w="7364" w:type="dxa"/>
          </w:tcPr>
          <w:p w:rsidR="007A0633" w:rsidRPr="00255EED" w:rsidRDefault="007A0633" w:rsidP="007A0633">
            <w:pPr>
              <w:ind w:firstLine="0"/>
              <w:jc w:val="center"/>
              <w:rPr>
                <w:sz w:val="20"/>
                <w:szCs w:val="20"/>
              </w:rPr>
            </w:pPr>
            <w:r w:rsidRPr="00255EED">
              <w:rPr>
                <w:sz w:val="20"/>
                <w:szCs w:val="20"/>
              </w:rPr>
              <w:t>0 баллов – нет данных о подтвержденном эффекте от внедрения лучшей практики или большинство источников данных, свидетельствует о негативном эффекте;</w:t>
            </w:r>
          </w:p>
          <w:p w:rsidR="007A0633" w:rsidRPr="00255EED" w:rsidRDefault="007A0633" w:rsidP="007A0633">
            <w:pPr>
              <w:ind w:firstLine="0"/>
              <w:jc w:val="center"/>
              <w:rPr>
                <w:sz w:val="20"/>
                <w:szCs w:val="20"/>
              </w:rPr>
            </w:pPr>
            <w:r w:rsidRPr="00255EED">
              <w:rPr>
                <w:sz w:val="20"/>
                <w:szCs w:val="20"/>
              </w:rPr>
              <w:t>3 балла – есть информация из нескольких (от одного до трех) источников о позитивном эффекте от внедрения лучшей практики;</w:t>
            </w:r>
          </w:p>
          <w:p w:rsidR="007A0633" w:rsidRPr="00255EED" w:rsidRDefault="007A0633" w:rsidP="007A0633">
            <w:pPr>
              <w:ind w:firstLine="0"/>
              <w:jc w:val="center"/>
              <w:rPr>
                <w:sz w:val="20"/>
                <w:szCs w:val="20"/>
              </w:rPr>
            </w:pPr>
            <w:r w:rsidRPr="00255EED">
              <w:rPr>
                <w:sz w:val="20"/>
                <w:szCs w:val="20"/>
              </w:rPr>
              <w:t>5 баллов – есть информация из более чем трех источников о позитивном эффекте от внедрения лучшей практики.</w:t>
            </w:r>
          </w:p>
        </w:tc>
      </w:tr>
      <w:tr w:rsidR="007A0633" w:rsidTr="004C517C">
        <w:tc>
          <w:tcPr>
            <w:tcW w:w="9344" w:type="dxa"/>
            <w:gridSpan w:val="2"/>
          </w:tcPr>
          <w:p w:rsidR="007A0633" w:rsidRPr="00255EED" w:rsidRDefault="007A0633" w:rsidP="007A0633">
            <w:pPr>
              <w:ind w:firstLine="0"/>
              <w:jc w:val="center"/>
              <w:rPr>
                <w:sz w:val="20"/>
                <w:szCs w:val="20"/>
              </w:rPr>
            </w:pPr>
            <w:r w:rsidRPr="00255EED">
              <w:rPr>
                <w:sz w:val="20"/>
                <w:szCs w:val="20"/>
              </w:rPr>
              <w:t>Значимые критерии</w:t>
            </w:r>
          </w:p>
        </w:tc>
      </w:tr>
      <w:tr w:rsidR="007A0633" w:rsidTr="0051148D">
        <w:tc>
          <w:tcPr>
            <w:tcW w:w="1980" w:type="dxa"/>
          </w:tcPr>
          <w:p w:rsidR="007A0633" w:rsidRPr="00255EED" w:rsidRDefault="007A0633" w:rsidP="007A0633">
            <w:pPr>
              <w:ind w:firstLine="0"/>
              <w:jc w:val="left"/>
              <w:rPr>
                <w:sz w:val="20"/>
                <w:szCs w:val="20"/>
              </w:rPr>
            </w:pPr>
            <w:r w:rsidRPr="00255EED">
              <w:rPr>
                <w:sz w:val="20"/>
                <w:szCs w:val="20"/>
              </w:rPr>
              <w:t xml:space="preserve">Доступность </w:t>
            </w:r>
          </w:p>
        </w:tc>
        <w:tc>
          <w:tcPr>
            <w:tcW w:w="7364" w:type="dxa"/>
          </w:tcPr>
          <w:p w:rsidR="007A0633" w:rsidRPr="00255EED" w:rsidRDefault="007A0633" w:rsidP="007A0633">
            <w:pPr>
              <w:ind w:firstLine="0"/>
              <w:jc w:val="center"/>
              <w:rPr>
                <w:sz w:val="20"/>
                <w:szCs w:val="20"/>
              </w:rPr>
            </w:pPr>
            <w:r w:rsidRPr="00255EED">
              <w:rPr>
                <w:sz w:val="20"/>
                <w:szCs w:val="20"/>
              </w:rPr>
              <w:t>0 баллов – отсутствует информация о процедуре внедрения продукта, не проведена оценка затрат на его внедрение и эксплуатацию;</w:t>
            </w:r>
          </w:p>
          <w:p w:rsidR="007A0633" w:rsidRPr="00255EED" w:rsidRDefault="007A0633" w:rsidP="007A0633">
            <w:pPr>
              <w:ind w:firstLine="0"/>
              <w:jc w:val="center"/>
              <w:rPr>
                <w:sz w:val="20"/>
                <w:szCs w:val="20"/>
              </w:rPr>
            </w:pPr>
            <w:r w:rsidRPr="00255EED">
              <w:rPr>
                <w:sz w:val="20"/>
                <w:szCs w:val="20"/>
              </w:rPr>
              <w:t>2 балла – информация частично поясняет процедуру внедрения продукта, не проведена оценка затрат на его внедрение или эксплуатацию;</w:t>
            </w:r>
          </w:p>
          <w:p w:rsidR="007A0633" w:rsidRPr="00255EED" w:rsidRDefault="007A0633" w:rsidP="004B2D8E">
            <w:pPr>
              <w:ind w:firstLine="0"/>
              <w:jc w:val="center"/>
              <w:rPr>
                <w:sz w:val="20"/>
                <w:szCs w:val="20"/>
              </w:rPr>
            </w:pPr>
            <w:r w:rsidRPr="00255EED">
              <w:rPr>
                <w:sz w:val="20"/>
                <w:szCs w:val="20"/>
              </w:rPr>
              <w:t>3 баллов – информация определяет процедуру внедрения продукта, проведена оценка затрат на его внедрение или эксплуатацию.</w:t>
            </w:r>
          </w:p>
        </w:tc>
      </w:tr>
      <w:tr w:rsidR="007A0633" w:rsidTr="0051148D">
        <w:tc>
          <w:tcPr>
            <w:tcW w:w="1980" w:type="dxa"/>
          </w:tcPr>
          <w:p w:rsidR="007A0633" w:rsidRPr="00255EED" w:rsidRDefault="007A0633" w:rsidP="007A0633">
            <w:pPr>
              <w:ind w:firstLine="0"/>
              <w:jc w:val="left"/>
              <w:rPr>
                <w:sz w:val="20"/>
                <w:szCs w:val="20"/>
              </w:rPr>
            </w:pPr>
            <w:r w:rsidRPr="00255EED">
              <w:rPr>
                <w:sz w:val="20"/>
                <w:szCs w:val="20"/>
              </w:rPr>
              <w:lastRenderedPageBreak/>
              <w:t xml:space="preserve">Устойчивость </w:t>
            </w:r>
          </w:p>
        </w:tc>
        <w:tc>
          <w:tcPr>
            <w:tcW w:w="7364" w:type="dxa"/>
          </w:tcPr>
          <w:p w:rsidR="007A0633" w:rsidRPr="00255EED" w:rsidRDefault="007A0633" w:rsidP="007A0633">
            <w:pPr>
              <w:ind w:firstLine="0"/>
              <w:jc w:val="center"/>
              <w:rPr>
                <w:sz w:val="20"/>
                <w:szCs w:val="20"/>
              </w:rPr>
            </w:pPr>
            <w:r w:rsidRPr="00255EED">
              <w:rPr>
                <w:sz w:val="20"/>
                <w:szCs w:val="20"/>
              </w:rPr>
              <w:t>0 балл – созданный практикой продукт находится на этапе внедрения или эксплуатируется меньше года;</w:t>
            </w:r>
          </w:p>
          <w:p w:rsidR="007A0633" w:rsidRPr="00255EED" w:rsidRDefault="007A0633" w:rsidP="007A0633">
            <w:pPr>
              <w:ind w:firstLine="0"/>
              <w:jc w:val="center"/>
              <w:rPr>
                <w:sz w:val="20"/>
                <w:szCs w:val="20"/>
              </w:rPr>
            </w:pPr>
            <w:r w:rsidRPr="00255EED">
              <w:rPr>
                <w:sz w:val="20"/>
                <w:szCs w:val="20"/>
              </w:rPr>
              <w:t>2 балла – созданный практикой продукт эксплуатируется от года до трех лет;</w:t>
            </w:r>
          </w:p>
          <w:p w:rsidR="007A0633" w:rsidRPr="00255EED" w:rsidRDefault="007A0633" w:rsidP="007A0633">
            <w:pPr>
              <w:ind w:firstLine="0"/>
              <w:jc w:val="center"/>
              <w:rPr>
                <w:sz w:val="20"/>
                <w:szCs w:val="20"/>
              </w:rPr>
            </w:pPr>
            <w:r w:rsidRPr="00255EED">
              <w:rPr>
                <w:sz w:val="20"/>
                <w:szCs w:val="20"/>
              </w:rPr>
              <w:t>3 баллов – созданный практикой продукт эксплуатируется свыше трех лет.</w:t>
            </w:r>
          </w:p>
        </w:tc>
      </w:tr>
      <w:tr w:rsidR="007A0633" w:rsidTr="0051148D">
        <w:tc>
          <w:tcPr>
            <w:tcW w:w="1980" w:type="dxa"/>
          </w:tcPr>
          <w:p w:rsidR="007A0633" w:rsidRPr="00255EED" w:rsidRDefault="007A0633" w:rsidP="007A0633">
            <w:pPr>
              <w:ind w:firstLine="0"/>
              <w:jc w:val="left"/>
              <w:rPr>
                <w:sz w:val="20"/>
                <w:szCs w:val="20"/>
              </w:rPr>
            </w:pPr>
            <w:r w:rsidRPr="00255EED">
              <w:rPr>
                <w:sz w:val="20"/>
                <w:szCs w:val="20"/>
              </w:rPr>
              <w:t>Открытость информации</w:t>
            </w:r>
          </w:p>
        </w:tc>
        <w:tc>
          <w:tcPr>
            <w:tcW w:w="7364" w:type="dxa"/>
          </w:tcPr>
          <w:p w:rsidR="007A0633" w:rsidRPr="00255EED" w:rsidRDefault="007A0633" w:rsidP="007A0633">
            <w:pPr>
              <w:ind w:firstLine="0"/>
              <w:jc w:val="center"/>
              <w:rPr>
                <w:sz w:val="20"/>
                <w:szCs w:val="20"/>
              </w:rPr>
            </w:pPr>
            <w:r w:rsidRPr="00255EED">
              <w:rPr>
                <w:sz w:val="20"/>
                <w:szCs w:val="20"/>
              </w:rPr>
              <w:t>0 баллов – отсутствует общедоступная информация о практике или данная информация не позволяет оценить ее по большинству значимых критериев оценки;</w:t>
            </w:r>
          </w:p>
          <w:p w:rsidR="007A0633" w:rsidRPr="00255EED" w:rsidRDefault="007A0633" w:rsidP="007A0633">
            <w:pPr>
              <w:ind w:firstLine="0"/>
              <w:jc w:val="center"/>
              <w:rPr>
                <w:sz w:val="20"/>
                <w:szCs w:val="20"/>
              </w:rPr>
            </w:pPr>
            <w:r w:rsidRPr="00255EED">
              <w:rPr>
                <w:sz w:val="20"/>
                <w:szCs w:val="20"/>
              </w:rPr>
              <w:t>2 балл</w:t>
            </w:r>
            <w:r w:rsidR="005A080A" w:rsidRPr="00255EED">
              <w:rPr>
                <w:sz w:val="20"/>
                <w:szCs w:val="20"/>
              </w:rPr>
              <w:t>а</w:t>
            </w:r>
            <w:r w:rsidRPr="00255EED">
              <w:rPr>
                <w:sz w:val="20"/>
                <w:szCs w:val="20"/>
              </w:rPr>
              <w:t xml:space="preserve"> – общедоступная информация о практике позволяет оценить по нескольким значимым критериям оценки;</w:t>
            </w:r>
          </w:p>
          <w:p w:rsidR="007A0633" w:rsidRPr="00255EED" w:rsidRDefault="007A0633" w:rsidP="007A0633">
            <w:pPr>
              <w:ind w:firstLine="0"/>
              <w:jc w:val="center"/>
              <w:rPr>
                <w:sz w:val="20"/>
                <w:szCs w:val="20"/>
              </w:rPr>
            </w:pPr>
            <w:r w:rsidRPr="00255EED">
              <w:rPr>
                <w:sz w:val="20"/>
                <w:szCs w:val="20"/>
              </w:rPr>
              <w:t>3 баллов – общедоступная информация о практике позволяет оценить ее по большинству значимых критериев оценки.</w:t>
            </w:r>
          </w:p>
        </w:tc>
      </w:tr>
    </w:tbl>
    <w:p w:rsidR="004C517C" w:rsidRDefault="004C517C" w:rsidP="004C517C"/>
    <w:p w:rsidR="001D25C1" w:rsidRDefault="004C517C" w:rsidP="004C517C">
      <w:r w:rsidRPr="004C517C">
        <w:rPr>
          <w:i/>
        </w:rPr>
        <w:t>Основная задача эксперта</w:t>
      </w:r>
      <w:r w:rsidR="00A80C2D">
        <w:rPr>
          <w:i/>
        </w:rPr>
        <w:t xml:space="preserve"> состоит в </w:t>
      </w:r>
      <w:r>
        <w:rPr>
          <w:i/>
        </w:rPr>
        <w:t>комплексно</w:t>
      </w:r>
      <w:r w:rsidR="00A80C2D">
        <w:rPr>
          <w:i/>
        </w:rPr>
        <w:t>й</w:t>
      </w:r>
      <w:r>
        <w:rPr>
          <w:i/>
        </w:rPr>
        <w:t xml:space="preserve"> </w:t>
      </w:r>
      <w:r w:rsidRPr="004C517C">
        <w:rPr>
          <w:i/>
        </w:rPr>
        <w:t>оцен</w:t>
      </w:r>
      <w:r w:rsidR="00A80C2D">
        <w:rPr>
          <w:i/>
        </w:rPr>
        <w:t>ке</w:t>
      </w:r>
      <w:r w:rsidRPr="004C517C">
        <w:rPr>
          <w:i/>
        </w:rPr>
        <w:t xml:space="preserve"> лучш</w:t>
      </w:r>
      <w:r w:rsidR="00A80C2D">
        <w:rPr>
          <w:i/>
        </w:rPr>
        <w:t>ей</w:t>
      </w:r>
      <w:r w:rsidRPr="004C517C">
        <w:rPr>
          <w:i/>
        </w:rPr>
        <w:t xml:space="preserve"> практик</w:t>
      </w:r>
      <w:r w:rsidR="00A80C2D">
        <w:rPr>
          <w:i/>
        </w:rPr>
        <w:t>и</w:t>
      </w:r>
      <w:r w:rsidRPr="004C517C">
        <w:rPr>
          <w:i/>
        </w:rPr>
        <w:t xml:space="preserve"> </w:t>
      </w:r>
      <w:r>
        <w:rPr>
          <w:i/>
        </w:rPr>
        <w:t>(н</w:t>
      </w:r>
      <w:r w:rsidRPr="004C517C">
        <w:rPr>
          <w:i/>
        </w:rPr>
        <w:t xml:space="preserve">е только </w:t>
      </w:r>
      <w:r w:rsidR="00901983">
        <w:rPr>
          <w:i/>
        </w:rPr>
        <w:t>программн</w:t>
      </w:r>
      <w:r w:rsidR="00A80C2D">
        <w:rPr>
          <w:i/>
        </w:rPr>
        <w:t>ого</w:t>
      </w:r>
      <w:r w:rsidR="00901983">
        <w:rPr>
          <w:i/>
        </w:rPr>
        <w:t xml:space="preserve"> продукт</w:t>
      </w:r>
      <w:r w:rsidR="00A80C2D">
        <w:rPr>
          <w:i/>
        </w:rPr>
        <w:t>а</w:t>
      </w:r>
      <w:r w:rsidR="00901983">
        <w:rPr>
          <w:i/>
        </w:rPr>
        <w:t>, технологи</w:t>
      </w:r>
      <w:r w:rsidR="00A80C2D">
        <w:rPr>
          <w:i/>
        </w:rPr>
        <w:t>и</w:t>
      </w:r>
      <w:r w:rsidRPr="004C517C">
        <w:rPr>
          <w:i/>
        </w:rPr>
        <w:t>, но и услови</w:t>
      </w:r>
      <w:r w:rsidR="00A80C2D">
        <w:rPr>
          <w:i/>
        </w:rPr>
        <w:t>и</w:t>
      </w:r>
      <w:r w:rsidRPr="004C517C">
        <w:rPr>
          <w:i/>
        </w:rPr>
        <w:t xml:space="preserve"> </w:t>
      </w:r>
      <w:r w:rsidR="00A80C2D">
        <w:rPr>
          <w:i/>
        </w:rPr>
        <w:t xml:space="preserve">их </w:t>
      </w:r>
      <w:r w:rsidRPr="004C517C">
        <w:rPr>
          <w:i/>
        </w:rPr>
        <w:t>использовани</w:t>
      </w:r>
      <w:r w:rsidR="00A80C2D">
        <w:rPr>
          <w:i/>
        </w:rPr>
        <w:t>я в организации-заказчике</w:t>
      </w:r>
      <w:r w:rsidRPr="004C517C">
        <w:rPr>
          <w:i/>
        </w:rPr>
        <w:t>, достигнуты</w:t>
      </w:r>
      <w:r w:rsidR="00A80C2D">
        <w:rPr>
          <w:i/>
        </w:rPr>
        <w:t>х</w:t>
      </w:r>
      <w:r w:rsidRPr="004C517C">
        <w:rPr>
          <w:i/>
        </w:rPr>
        <w:t xml:space="preserve"> результат</w:t>
      </w:r>
      <w:r w:rsidR="00A80C2D">
        <w:rPr>
          <w:i/>
        </w:rPr>
        <w:t>ах</w:t>
      </w:r>
      <w:r w:rsidRPr="004C517C">
        <w:rPr>
          <w:i/>
        </w:rPr>
        <w:t xml:space="preserve"> деятельности</w:t>
      </w:r>
      <w:r>
        <w:rPr>
          <w:i/>
        </w:rPr>
        <w:t>)</w:t>
      </w:r>
      <w:r>
        <w:t>.</w:t>
      </w:r>
    </w:p>
    <w:p w:rsidR="00844C1C" w:rsidRDefault="00844C1C" w:rsidP="00844C1C">
      <w:r>
        <w:t>На проведение оценки экспертам отводится не менее 7 дней. Срок конкретизируется по результатам взаимодействия с</w:t>
      </w:r>
      <w:r w:rsidRPr="004C517C">
        <w:t xml:space="preserve"> </w:t>
      </w:r>
      <w:r>
        <w:t>и</w:t>
      </w:r>
      <w:r w:rsidRPr="004C517C">
        <w:t>сследовател</w:t>
      </w:r>
      <w:r>
        <w:t>ем (представителем ВШЭ).</w:t>
      </w:r>
    </w:p>
    <w:p w:rsidR="00027A00" w:rsidRDefault="00DF0327" w:rsidP="00844C1C">
      <w:r w:rsidRPr="00DF0327">
        <w:t>Исследователь</w:t>
      </w:r>
      <w:r>
        <w:t xml:space="preserve"> </w:t>
      </w:r>
      <w:r w:rsidRPr="00DF0327">
        <w:t>обеспечивает ознакомление экспертов с заполненными анкетами</w:t>
      </w:r>
      <w:r w:rsidR="001D25C1">
        <w:t xml:space="preserve"> по потенциально лучшим практикам</w:t>
      </w:r>
      <w:r w:rsidR="005F3833">
        <w:t xml:space="preserve"> и дополнительными материалами</w:t>
      </w:r>
      <w:r w:rsidRPr="00DF0327">
        <w:t>.</w:t>
      </w:r>
      <w:r>
        <w:t xml:space="preserve"> Анкеты направляются </w:t>
      </w:r>
      <w:r w:rsidR="00027A00">
        <w:t>в сводной форме</w:t>
      </w:r>
      <w:r w:rsidR="00844C1C">
        <w:t xml:space="preserve"> в файле </w:t>
      </w:r>
      <w:r w:rsidR="00844C1C">
        <w:rPr>
          <w:lang w:val="en-US"/>
        </w:rPr>
        <w:t>MS</w:t>
      </w:r>
      <w:r w:rsidR="00844C1C" w:rsidRPr="00844C1C">
        <w:t xml:space="preserve"> </w:t>
      </w:r>
      <w:r w:rsidR="00844C1C">
        <w:rPr>
          <w:lang w:val="en-US"/>
        </w:rPr>
        <w:t>Excel</w:t>
      </w:r>
      <w:r w:rsidR="005F3833">
        <w:t>, дополнительные материалы – в архивном файле.</w:t>
      </w:r>
      <w:r w:rsidR="00364EB4">
        <w:t xml:space="preserve"> Количество оцениваемых анкет – около 50.</w:t>
      </w:r>
    </w:p>
    <w:p w:rsidR="00B63A2D" w:rsidRDefault="00027A00" w:rsidP="00844C1C">
      <w:r>
        <w:t>Э</w:t>
      </w:r>
      <w:r w:rsidR="00843A86">
        <w:t xml:space="preserve">ксперт </w:t>
      </w:r>
      <w:r w:rsidR="005F3833" w:rsidRPr="005F3833">
        <w:t xml:space="preserve">в сводной форме </w:t>
      </w:r>
      <w:r w:rsidR="00844C1C">
        <w:t xml:space="preserve">по каждой потенциально лучшей практике </w:t>
      </w:r>
      <w:r w:rsidR="00057C56">
        <w:t xml:space="preserve">указывает </w:t>
      </w:r>
      <w:r w:rsidR="00915D27">
        <w:t>количество баллов</w:t>
      </w:r>
      <w:r w:rsidR="00844C1C">
        <w:t xml:space="preserve"> по критериям оценки</w:t>
      </w:r>
      <w:r w:rsidR="00057C56">
        <w:t>.</w:t>
      </w:r>
      <w:r w:rsidR="003A40E3">
        <w:t xml:space="preserve"> Шкала с оценками расположена ниже описания лучших практик. </w:t>
      </w:r>
      <w:r w:rsidR="00913ADF">
        <w:t>При проведении оценки допустимо оценивать потенциально лучшие практики оценками 2, 3, 5. Нулевые оценки будут учтены при расчете</w:t>
      </w:r>
      <w:r w:rsidR="00913ADF" w:rsidRPr="00913ADF">
        <w:t xml:space="preserve"> средн</w:t>
      </w:r>
      <w:r w:rsidR="00913ADF">
        <w:t>ей</w:t>
      </w:r>
      <w:r w:rsidR="00913ADF" w:rsidRPr="00913ADF">
        <w:t xml:space="preserve"> оценк</w:t>
      </w:r>
      <w:r w:rsidR="00913ADF">
        <w:t>и</w:t>
      </w:r>
      <w:r w:rsidR="00913ADF" w:rsidRPr="00913ADF">
        <w:t xml:space="preserve"> эксперта (сводн</w:t>
      </w:r>
      <w:r w:rsidR="00913ADF">
        <w:t>ой</w:t>
      </w:r>
      <w:r w:rsidR="00913ADF" w:rsidRPr="00913ADF">
        <w:t xml:space="preserve"> оценк</w:t>
      </w:r>
      <w:r w:rsidR="00913ADF">
        <w:t>и)</w:t>
      </w:r>
      <w:r w:rsidR="00364EB4">
        <w:t xml:space="preserve"> автоматически</w:t>
      </w:r>
      <w:r w:rsidR="00913ADF">
        <w:t xml:space="preserve">. </w:t>
      </w:r>
      <w:r w:rsidR="00844C1C">
        <w:t xml:space="preserve">Оценочный лист, содержащий сводную оценку, формируется в файле </w:t>
      </w:r>
      <w:r w:rsidR="00364EB4">
        <w:t>на отдельном листе</w:t>
      </w:r>
      <w:r w:rsidR="00844C1C">
        <w:t>.</w:t>
      </w:r>
    </w:p>
    <w:p w:rsidR="00D3456A" w:rsidRDefault="003E2D0A" w:rsidP="00FA35DE">
      <w:r>
        <w:t>На очном заседании экспертной группы</w:t>
      </w:r>
      <w:r w:rsidR="00D3456A">
        <w:t xml:space="preserve"> по результатам обсуждения эксперт вправе провести корректировку экспертных оценок (изменить количество поставленных баллов). Исследователь</w:t>
      </w:r>
      <w:r w:rsidR="007E517F">
        <w:t xml:space="preserve"> </w:t>
      </w:r>
      <w:r w:rsidR="00D3456A">
        <w:t>проводит пересчет</w:t>
      </w:r>
      <w:r w:rsidR="00D3456A" w:rsidRPr="00D3456A">
        <w:t xml:space="preserve"> сводных оценок и </w:t>
      </w:r>
      <w:r w:rsidR="00D3456A">
        <w:t xml:space="preserve">изменяет </w:t>
      </w:r>
      <w:r w:rsidR="00D3456A" w:rsidRPr="00D3456A">
        <w:t>результаты ранжирования</w:t>
      </w:r>
      <w:r w:rsidR="00D3456A">
        <w:t>.</w:t>
      </w:r>
    </w:p>
    <w:p w:rsidR="003E2D0A" w:rsidRDefault="00D3456A" w:rsidP="00FA35DE">
      <w:r>
        <w:t>В процессе обсуждения эксперты принимают решение о минимальной сводной оценке (проходном балле), которая позволяет включить потенциально лучшие практики, получившие данную сводную оценк</w:t>
      </w:r>
      <w:r w:rsidR="002F21A5">
        <w:t>у</w:t>
      </w:r>
      <w:r>
        <w:t xml:space="preserve"> или оценку выше проходного балла, в сборник лучших практик.</w:t>
      </w:r>
    </w:p>
    <w:p w:rsidR="00DE5A7A" w:rsidRDefault="00DE5A7A" w:rsidP="008F02B3"/>
    <w:p w:rsidR="0051148D" w:rsidRDefault="0051148D" w:rsidP="008F02B3"/>
    <w:p w:rsidR="006565CF" w:rsidRDefault="00901983" w:rsidP="00B63A2D">
      <w:pPr>
        <w:keepNext/>
        <w:ind w:firstLine="0"/>
        <w:jc w:val="center"/>
        <w:rPr>
          <w:b/>
        </w:rPr>
      </w:pPr>
      <w:r>
        <w:rPr>
          <w:b/>
        </w:rPr>
        <w:t>2</w:t>
      </w:r>
      <w:r w:rsidR="006565CF" w:rsidRPr="00EC4B45">
        <w:rPr>
          <w:b/>
        </w:rPr>
        <w:t xml:space="preserve">. </w:t>
      </w:r>
      <w:r w:rsidR="00A80C2D">
        <w:rPr>
          <w:b/>
        </w:rPr>
        <w:t>С</w:t>
      </w:r>
      <w:r w:rsidR="00956B06" w:rsidRPr="00EC4B45">
        <w:rPr>
          <w:b/>
        </w:rPr>
        <w:t>борник лучших практик</w:t>
      </w:r>
    </w:p>
    <w:p w:rsidR="002F21A5" w:rsidRDefault="00956B06" w:rsidP="00B63A2D">
      <w:pPr>
        <w:keepNext/>
      </w:pPr>
      <w:r>
        <w:t xml:space="preserve">Сборник лучших практик публикуется в форме </w:t>
      </w:r>
      <w:r w:rsidRPr="00956B06">
        <w:t>раздела сайта, созданного в сети Интерне</w:t>
      </w:r>
      <w:r w:rsidR="007E517F">
        <w:t>т</w:t>
      </w:r>
      <w:r>
        <w:t xml:space="preserve"> </w:t>
      </w:r>
      <w:r w:rsidRPr="00956B06">
        <w:t xml:space="preserve">для размещения материалов </w:t>
      </w:r>
      <w:r>
        <w:t>научно-исследовательской работы по</w:t>
      </w:r>
      <w:r w:rsidRPr="00956B06">
        <w:t xml:space="preserve"> </w:t>
      </w:r>
      <w:r>
        <w:t>и</w:t>
      </w:r>
      <w:r w:rsidRPr="00956B06">
        <w:t>сследовани</w:t>
      </w:r>
      <w:r>
        <w:t>ю</w:t>
      </w:r>
      <w:r w:rsidRPr="00956B06">
        <w:t xml:space="preserve"> и прогнозировани</w:t>
      </w:r>
      <w:r>
        <w:t>ю</w:t>
      </w:r>
      <w:r w:rsidRPr="00956B06">
        <w:t xml:space="preserve"> потребностей экономики в </w:t>
      </w:r>
      <w:r>
        <w:t xml:space="preserve">ПД, ДДЗ </w:t>
      </w:r>
      <w:r w:rsidRPr="00956B06">
        <w:t xml:space="preserve">и </w:t>
      </w:r>
      <w:r w:rsidR="0028238C">
        <w:t>ГТ,</w:t>
      </w:r>
      <w:r w:rsidR="0028238C" w:rsidRPr="0028238C">
        <w:t xml:space="preserve"> а также услугах, сервисах и продуктах, созданных на их основе</w:t>
      </w:r>
      <w:r w:rsidR="0028238C">
        <w:t>.</w:t>
      </w:r>
    </w:p>
    <w:p w:rsidR="00956B06" w:rsidRDefault="0028238C" w:rsidP="008F02B3">
      <w:r>
        <w:t>В состав сборника включается:</w:t>
      </w:r>
    </w:p>
    <w:p w:rsidR="0028238C" w:rsidRDefault="0028238C" w:rsidP="008F02B3">
      <w:r>
        <w:t>- крат</w:t>
      </w:r>
      <w:r w:rsidR="00DE5A7A">
        <w:t>к</w:t>
      </w:r>
      <w:r>
        <w:t>ая информация о содержании</w:t>
      </w:r>
      <w:r w:rsidR="00E86F6F">
        <w:t xml:space="preserve"> и итогах </w:t>
      </w:r>
      <w:r>
        <w:t>исследования лучших практик;</w:t>
      </w:r>
    </w:p>
    <w:p w:rsidR="0028238C" w:rsidRDefault="0028238C" w:rsidP="008F02B3">
      <w:r>
        <w:t>- перечень лучших практик, прошедших экспертный отбор</w:t>
      </w:r>
      <w:r w:rsidR="00041338">
        <w:t>, и информация по каждой из них</w:t>
      </w:r>
      <w:r>
        <w:t>;</w:t>
      </w:r>
    </w:p>
    <w:p w:rsidR="0028238C" w:rsidRDefault="0028238C" w:rsidP="008F02B3">
      <w:r>
        <w:t>- результаты экспертной оценки лучших практик;</w:t>
      </w:r>
    </w:p>
    <w:p w:rsidR="0028238C" w:rsidRDefault="0028238C" w:rsidP="008F02B3">
      <w:r>
        <w:t>- информация об экспертах, проводивших оценку</w:t>
      </w:r>
      <w:r w:rsidR="00364EB4">
        <w:t xml:space="preserve"> (по согласованию с экспертом)</w:t>
      </w:r>
      <w:r>
        <w:t>.</w:t>
      </w:r>
    </w:p>
    <w:p w:rsidR="00DE5A7A" w:rsidRDefault="00990E2F" w:rsidP="00041338">
      <w:r>
        <w:t xml:space="preserve">Структура и содержание </w:t>
      </w:r>
      <w:r w:rsidR="00634A05">
        <w:t>сборника</w:t>
      </w:r>
      <w:r w:rsidR="00A80C2D">
        <w:t xml:space="preserve"> </w:t>
      </w:r>
      <w:r w:rsidR="00634A05">
        <w:t>утверждается организатором исследования</w:t>
      </w:r>
      <w:r w:rsidR="00A80C2D">
        <w:t xml:space="preserve"> (Росреестром)</w:t>
      </w:r>
      <w:r w:rsidR="00DE5A7A">
        <w:t>.</w:t>
      </w:r>
    </w:p>
    <w:p w:rsidR="00364EB4" w:rsidRDefault="00364EB4" w:rsidP="00041338"/>
    <w:p w:rsidR="0051148D" w:rsidRDefault="0051148D" w:rsidP="00041338">
      <w:bookmarkStart w:id="0" w:name="_GoBack"/>
      <w:bookmarkEnd w:id="0"/>
    </w:p>
    <w:p w:rsidR="007E517F" w:rsidRPr="00B63A2D" w:rsidRDefault="007E517F" w:rsidP="003C3C66">
      <w:pPr>
        <w:ind w:firstLine="0"/>
        <w:rPr>
          <w:sz w:val="20"/>
          <w:szCs w:val="20"/>
        </w:rPr>
      </w:pPr>
      <w:r w:rsidRPr="00B63A2D">
        <w:rPr>
          <w:sz w:val="20"/>
          <w:szCs w:val="20"/>
        </w:rPr>
        <w:t>Полная редакция методических рекомендаций</w:t>
      </w:r>
      <w:r w:rsidR="006B4F13">
        <w:rPr>
          <w:sz w:val="20"/>
          <w:szCs w:val="20"/>
        </w:rPr>
        <w:t xml:space="preserve"> по проведению исследования лучших практик</w:t>
      </w:r>
      <w:r w:rsidRPr="00B63A2D">
        <w:rPr>
          <w:sz w:val="20"/>
          <w:szCs w:val="20"/>
        </w:rPr>
        <w:t>:</w:t>
      </w:r>
    </w:p>
    <w:p w:rsidR="002A7DD2" w:rsidRDefault="00C10C80" w:rsidP="00913ADF">
      <w:pPr>
        <w:ind w:firstLine="0"/>
      </w:pPr>
      <w:hyperlink r:id="rId7" w:history="1">
        <w:r w:rsidR="007E517F" w:rsidRPr="00B63A2D">
          <w:rPr>
            <w:rStyle w:val="afb"/>
            <w:sz w:val="20"/>
            <w:szCs w:val="20"/>
          </w:rPr>
          <w:t>https://pd.hse.ru/data/2019/01/25/1148370891/Метод%20рекоменд_лучшие%20практики.docx</w:t>
        </w:r>
      </w:hyperlink>
      <w:r w:rsidR="001D25C1">
        <w:t xml:space="preserve"> </w:t>
      </w:r>
    </w:p>
    <w:sectPr w:rsidR="002A7DD2" w:rsidSect="00913ADF">
      <w:footerReference w:type="default" r:id="rId8"/>
      <w:pgSz w:w="11906" w:h="16838"/>
      <w:pgMar w:top="851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0C80" w:rsidRDefault="00C10C80" w:rsidP="00FA27EF">
      <w:r>
        <w:separator/>
      </w:r>
    </w:p>
  </w:endnote>
  <w:endnote w:type="continuationSeparator" w:id="0">
    <w:p w:rsidR="00C10C80" w:rsidRDefault="00C10C80" w:rsidP="00FA2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3716137"/>
      <w:docPartObj>
        <w:docPartGallery w:val="Page Numbers (Bottom of Page)"/>
        <w:docPartUnique/>
      </w:docPartObj>
    </w:sdtPr>
    <w:sdtEndPr/>
    <w:sdtContent>
      <w:p w:rsidR="003C50F0" w:rsidRDefault="003C50F0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148D">
          <w:rPr>
            <w:noProof/>
          </w:rPr>
          <w:t>2</w:t>
        </w:r>
        <w:r>
          <w:fldChar w:fldCharType="end"/>
        </w:r>
      </w:p>
    </w:sdtContent>
  </w:sdt>
  <w:p w:rsidR="003C50F0" w:rsidRDefault="003C50F0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0C80" w:rsidRDefault="00C10C80" w:rsidP="00FA27EF">
      <w:r>
        <w:separator/>
      </w:r>
    </w:p>
  </w:footnote>
  <w:footnote w:type="continuationSeparator" w:id="0">
    <w:p w:rsidR="00C10C80" w:rsidRDefault="00C10C80" w:rsidP="00FA27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90A5D"/>
    <w:multiLevelType w:val="hybridMultilevel"/>
    <w:tmpl w:val="DEDE90F4"/>
    <w:lvl w:ilvl="0" w:tplc="42DA1E82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5AB"/>
    <w:rsid w:val="000119E2"/>
    <w:rsid w:val="0002711C"/>
    <w:rsid w:val="00027A00"/>
    <w:rsid w:val="00035BB9"/>
    <w:rsid w:val="00041338"/>
    <w:rsid w:val="00044F64"/>
    <w:rsid w:val="0005045E"/>
    <w:rsid w:val="000572DD"/>
    <w:rsid w:val="00057C56"/>
    <w:rsid w:val="00071815"/>
    <w:rsid w:val="0007555F"/>
    <w:rsid w:val="0009455B"/>
    <w:rsid w:val="00095E3A"/>
    <w:rsid w:val="000D0095"/>
    <w:rsid w:val="000E365B"/>
    <w:rsid w:val="000E6280"/>
    <w:rsid w:val="00120620"/>
    <w:rsid w:val="001211C8"/>
    <w:rsid w:val="00124DD3"/>
    <w:rsid w:val="00124F0D"/>
    <w:rsid w:val="00134418"/>
    <w:rsid w:val="00151311"/>
    <w:rsid w:val="00165F61"/>
    <w:rsid w:val="001A3A36"/>
    <w:rsid w:val="001A3C97"/>
    <w:rsid w:val="001B572B"/>
    <w:rsid w:val="001C7551"/>
    <w:rsid w:val="001D25C1"/>
    <w:rsid w:val="002043C6"/>
    <w:rsid w:val="00242265"/>
    <w:rsid w:val="0024246D"/>
    <w:rsid w:val="00255EED"/>
    <w:rsid w:val="0026258D"/>
    <w:rsid w:val="0027345B"/>
    <w:rsid w:val="0028238C"/>
    <w:rsid w:val="002A7DD2"/>
    <w:rsid w:val="002D6420"/>
    <w:rsid w:val="002F21A5"/>
    <w:rsid w:val="002F6B71"/>
    <w:rsid w:val="00303E05"/>
    <w:rsid w:val="003276A9"/>
    <w:rsid w:val="00336124"/>
    <w:rsid w:val="00336BD4"/>
    <w:rsid w:val="00346F61"/>
    <w:rsid w:val="00351A70"/>
    <w:rsid w:val="00364EB4"/>
    <w:rsid w:val="003741BD"/>
    <w:rsid w:val="003A40E3"/>
    <w:rsid w:val="003B0632"/>
    <w:rsid w:val="003C3C66"/>
    <w:rsid w:val="003C50F0"/>
    <w:rsid w:val="003D69DC"/>
    <w:rsid w:val="003E1667"/>
    <w:rsid w:val="003E2D0A"/>
    <w:rsid w:val="00404ABC"/>
    <w:rsid w:val="004155DF"/>
    <w:rsid w:val="0042215A"/>
    <w:rsid w:val="0044123A"/>
    <w:rsid w:val="00472B24"/>
    <w:rsid w:val="004A19CA"/>
    <w:rsid w:val="004B2D8E"/>
    <w:rsid w:val="004B7E23"/>
    <w:rsid w:val="004C517C"/>
    <w:rsid w:val="004D63CD"/>
    <w:rsid w:val="004F272F"/>
    <w:rsid w:val="004F7B26"/>
    <w:rsid w:val="0051148D"/>
    <w:rsid w:val="005124EA"/>
    <w:rsid w:val="00513B78"/>
    <w:rsid w:val="0052531B"/>
    <w:rsid w:val="00536E38"/>
    <w:rsid w:val="0055603E"/>
    <w:rsid w:val="00595D58"/>
    <w:rsid w:val="005A080A"/>
    <w:rsid w:val="005C60E8"/>
    <w:rsid w:val="005D4E63"/>
    <w:rsid w:val="005D7CF8"/>
    <w:rsid w:val="005E37DA"/>
    <w:rsid w:val="005E7EF5"/>
    <w:rsid w:val="005F3833"/>
    <w:rsid w:val="005F5E62"/>
    <w:rsid w:val="00600087"/>
    <w:rsid w:val="00604F63"/>
    <w:rsid w:val="00607FBF"/>
    <w:rsid w:val="00620131"/>
    <w:rsid w:val="00621C35"/>
    <w:rsid w:val="00627212"/>
    <w:rsid w:val="00634892"/>
    <w:rsid w:val="00634A05"/>
    <w:rsid w:val="00634CC3"/>
    <w:rsid w:val="00653410"/>
    <w:rsid w:val="006565CF"/>
    <w:rsid w:val="00661C57"/>
    <w:rsid w:val="00672647"/>
    <w:rsid w:val="00673842"/>
    <w:rsid w:val="006B4F13"/>
    <w:rsid w:val="006D03BB"/>
    <w:rsid w:val="006E5217"/>
    <w:rsid w:val="00733EB1"/>
    <w:rsid w:val="0074721B"/>
    <w:rsid w:val="00761212"/>
    <w:rsid w:val="007627F6"/>
    <w:rsid w:val="00771CF5"/>
    <w:rsid w:val="00790624"/>
    <w:rsid w:val="007A0633"/>
    <w:rsid w:val="007C1C63"/>
    <w:rsid w:val="007E517F"/>
    <w:rsid w:val="007E5FB3"/>
    <w:rsid w:val="00801600"/>
    <w:rsid w:val="00805AFA"/>
    <w:rsid w:val="00822A60"/>
    <w:rsid w:val="00827165"/>
    <w:rsid w:val="00843A86"/>
    <w:rsid w:val="00844C1C"/>
    <w:rsid w:val="00845321"/>
    <w:rsid w:val="00857E4C"/>
    <w:rsid w:val="0089072B"/>
    <w:rsid w:val="00890D5C"/>
    <w:rsid w:val="00892BC6"/>
    <w:rsid w:val="008A53CE"/>
    <w:rsid w:val="008B3481"/>
    <w:rsid w:val="008B695B"/>
    <w:rsid w:val="008F02B3"/>
    <w:rsid w:val="008F45AB"/>
    <w:rsid w:val="009017EF"/>
    <w:rsid w:val="00901983"/>
    <w:rsid w:val="00907309"/>
    <w:rsid w:val="00913ADF"/>
    <w:rsid w:val="00915D27"/>
    <w:rsid w:val="00941A27"/>
    <w:rsid w:val="00946251"/>
    <w:rsid w:val="00956B06"/>
    <w:rsid w:val="0096299B"/>
    <w:rsid w:val="0097326A"/>
    <w:rsid w:val="0097742E"/>
    <w:rsid w:val="00990E2F"/>
    <w:rsid w:val="009A0021"/>
    <w:rsid w:val="009A28E1"/>
    <w:rsid w:val="009C1100"/>
    <w:rsid w:val="009C7835"/>
    <w:rsid w:val="009F2B23"/>
    <w:rsid w:val="00A00C79"/>
    <w:rsid w:val="00A058EF"/>
    <w:rsid w:val="00A1407A"/>
    <w:rsid w:val="00A16D73"/>
    <w:rsid w:val="00A80C2D"/>
    <w:rsid w:val="00A85EA4"/>
    <w:rsid w:val="00A956CD"/>
    <w:rsid w:val="00A95ACA"/>
    <w:rsid w:val="00AE38FA"/>
    <w:rsid w:val="00B40158"/>
    <w:rsid w:val="00B42B19"/>
    <w:rsid w:val="00B5677F"/>
    <w:rsid w:val="00B63A2D"/>
    <w:rsid w:val="00B667B9"/>
    <w:rsid w:val="00B74C56"/>
    <w:rsid w:val="00B80D28"/>
    <w:rsid w:val="00B8212A"/>
    <w:rsid w:val="00B85A8F"/>
    <w:rsid w:val="00C10C80"/>
    <w:rsid w:val="00C117FB"/>
    <w:rsid w:val="00C21BA4"/>
    <w:rsid w:val="00C36296"/>
    <w:rsid w:val="00C37A8E"/>
    <w:rsid w:val="00C41485"/>
    <w:rsid w:val="00C43F18"/>
    <w:rsid w:val="00C73E63"/>
    <w:rsid w:val="00CA4217"/>
    <w:rsid w:val="00CB19EE"/>
    <w:rsid w:val="00CB5C53"/>
    <w:rsid w:val="00CC51C2"/>
    <w:rsid w:val="00CC57A5"/>
    <w:rsid w:val="00CC7BD3"/>
    <w:rsid w:val="00D00FED"/>
    <w:rsid w:val="00D04E24"/>
    <w:rsid w:val="00D21D63"/>
    <w:rsid w:val="00D3456A"/>
    <w:rsid w:val="00D44BBF"/>
    <w:rsid w:val="00D4625C"/>
    <w:rsid w:val="00D65F3F"/>
    <w:rsid w:val="00D7128A"/>
    <w:rsid w:val="00D957FA"/>
    <w:rsid w:val="00DB0AD9"/>
    <w:rsid w:val="00DB64A7"/>
    <w:rsid w:val="00DC71AE"/>
    <w:rsid w:val="00DE31B4"/>
    <w:rsid w:val="00DE5A7A"/>
    <w:rsid w:val="00DF0327"/>
    <w:rsid w:val="00DF65A5"/>
    <w:rsid w:val="00E14C64"/>
    <w:rsid w:val="00E15826"/>
    <w:rsid w:val="00E23587"/>
    <w:rsid w:val="00E34BD7"/>
    <w:rsid w:val="00E70745"/>
    <w:rsid w:val="00E86F6F"/>
    <w:rsid w:val="00E87402"/>
    <w:rsid w:val="00E93523"/>
    <w:rsid w:val="00EA1FAC"/>
    <w:rsid w:val="00EA6778"/>
    <w:rsid w:val="00EB764F"/>
    <w:rsid w:val="00EC4B45"/>
    <w:rsid w:val="00ED6270"/>
    <w:rsid w:val="00EE15FE"/>
    <w:rsid w:val="00EF7B86"/>
    <w:rsid w:val="00F0270D"/>
    <w:rsid w:val="00F10D45"/>
    <w:rsid w:val="00F27CC2"/>
    <w:rsid w:val="00F64EF5"/>
    <w:rsid w:val="00F725F8"/>
    <w:rsid w:val="00F83B42"/>
    <w:rsid w:val="00F877BC"/>
    <w:rsid w:val="00F94FC6"/>
    <w:rsid w:val="00FA27EF"/>
    <w:rsid w:val="00FA35DE"/>
    <w:rsid w:val="00FB56E6"/>
    <w:rsid w:val="00FC6EEB"/>
    <w:rsid w:val="00FC782B"/>
    <w:rsid w:val="00FD5067"/>
    <w:rsid w:val="00FE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7F1EA9-7D4A-4B5A-BBB6-EBA27EE87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E31B4"/>
    <w:rPr>
      <w:rFonts w:ascii="Times New Roman" w:hAnsi="Times New Roman"/>
      <w:sz w:val="24"/>
    </w:rPr>
  </w:style>
  <w:style w:type="paragraph" w:styleId="1">
    <w:name w:val="heading 1"/>
    <w:aliases w:val="н) Глава"/>
    <w:basedOn w:val="a0"/>
    <w:next w:val="a0"/>
    <w:link w:val="10"/>
    <w:uiPriority w:val="9"/>
    <w:qFormat/>
    <w:rsid w:val="00DE31B4"/>
    <w:pPr>
      <w:keepNext/>
      <w:keepLines/>
      <w:widowControl w:val="0"/>
      <w:autoSpaceDE w:val="0"/>
      <w:autoSpaceDN w:val="0"/>
      <w:adjustRightInd w:val="0"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2">
    <w:name w:val="heading 2"/>
    <w:aliases w:val="в) Подраздел,2 уровень"/>
    <w:basedOn w:val="a0"/>
    <w:next w:val="a0"/>
    <w:link w:val="20"/>
    <w:qFormat/>
    <w:rsid w:val="00DE31B4"/>
    <w:pPr>
      <w:keepNext/>
      <w:tabs>
        <w:tab w:val="num" w:pos="1418"/>
      </w:tabs>
      <w:spacing w:before="240" w:after="120" w:line="360" w:lineRule="auto"/>
      <w:ind w:left="1418" w:hanging="851"/>
      <w:outlineLvl w:val="1"/>
    </w:pPr>
    <w:rPr>
      <w:rFonts w:eastAsia="MS Mincho" w:cs="Times New Roman"/>
      <w:szCs w:val="24"/>
      <w:lang w:eastAsia="ru-RU"/>
    </w:rPr>
  </w:style>
  <w:style w:type="paragraph" w:styleId="3">
    <w:name w:val="heading 3"/>
    <w:aliases w:val="г) Пункт,3 уровень"/>
    <w:basedOn w:val="a0"/>
    <w:next w:val="a0"/>
    <w:link w:val="30"/>
    <w:unhideWhenUsed/>
    <w:qFormat/>
    <w:rsid w:val="00DE31B4"/>
    <w:pPr>
      <w:keepNext/>
      <w:keepLines/>
      <w:widowControl w:val="0"/>
      <w:autoSpaceDE w:val="0"/>
      <w:autoSpaceDN w:val="0"/>
      <w:adjustRightInd w:val="0"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  <w:lang w:eastAsia="ru-RU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DE31B4"/>
    <w:pPr>
      <w:keepNext/>
      <w:keepLines/>
      <w:widowControl w:val="0"/>
      <w:autoSpaceDE w:val="0"/>
      <w:autoSpaceDN w:val="0"/>
      <w:adjustRightInd w:val="0"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ГОСТ заголовок"/>
    <w:basedOn w:val="1"/>
    <w:qFormat/>
    <w:rsid w:val="00DE31B4"/>
    <w:pPr>
      <w:spacing w:line="36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10">
    <w:name w:val="Заголовок 1 Знак"/>
    <w:aliases w:val="н) Глава Знак"/>
    <w:basedOn w:val="a1"/>
    <w:link w:val="1"/>
    <w:uiPriority w:val="9"/>
    <w:rsid w:val="00DE31B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a5">
    <w:name w:val="ГОСТ Заголовок простой"/>
    <w:basedOn w:val="a0"/>
    <w:qFormat/>
    <w:rsid w:val="00DE31B4"/>
    <w:pPr>
      <w:spacing w:before="160" w:after="160" w:line="360" w:lineRule="auto"/>
    </w:pPr>
    <w:rPr>
      <w:rFonts w:cs="Times New Roman"/>
      <w:i/>
      <w:szCs w:val="24"/>
    </w:rPr>
  </w:style>
  <w:style w:type="paragraph" w:customStyle="1" w:styleId="a6">
    <w:name w:val="ГОСТ рисунок"/>
    <w:basedOn w:val="a0"/>
    <w:qFormat/>
    <w:rsid w:val="00DE31B4"/>
    <w:pPr>
      <w:spacing w:after="160" w:line="360" w:lineRule="auto"/>
      <w:jc w:val="center"/>
    </w:pPr>
    <w:rPr>
      <w:rFonts w:cs="Times New Roman"/>
      <w:szCs w:val="26"/>
    </w:rPr>
  </w:style>
  <w:style w:type="paragraph" w:customStyle="1" w:styleId="a7">
    <w:name w:val="ГОСТ список"/>
    <w:basedOn w:val="a"/>
    <w:qFormat/>
    <w:rsid w:val="00DE31B4"/>
    <w:pPr>
      <w:spacing w:after="200" w:line="360" w:lineRule="auto"/>
    </w:pPr>
    <w:rPr>
      <w:rFonts w:cs="Times New Roman"/>
      <w:szCs w:val="24"/>
    </w:rPr>
  </w:style>
  <w:style w:type="paragraph" w:styleId="a">
    <w:name w:val="List Paragraph"/>
    <w:basedOn w:val="a0"/>
    <w:uiPriority w:val="34"/>
    <w:qFormat/>
    <w:rsid w:val="00DE31B4"/>
    <w:pPr>
      <w:numPr>
        <w:numId w:val="1"/>
      </w:numPr>
      <w:contextualSpacing/>
    </w:pPr>
  </w:style>
  <w:style w:type="paragraph" w:customStyle="1" w:styleId="a8">
    <w:name w:val="ГОСТ структура"/>
    <w:basedOn w:val="a0"/>
    <w:qFormat/>
    <w:rsid w:val="00DE31B4"/>
    <w:pPr>
      <w:widowControl w:val="0"/>
      <w:autoSpaceDE w:val="0"/>
      <w:autoSpaceDN w:val="0"/>
      <w:adjustRightInd w:val="0"/>
      <w:spacing w:after="240"/>
      <w:jc w:val="center"/>
    </w:pPr>
    <w:rPr>
      <w:rFonts w:eastAsia="MS ??" w:cs="Times New Roman"/>
      <w:sz w:val="26"/>
      <w:szCs w:val="26"/>
      <w:lang w:eastAsia="ru-RU"/>
    </w:rPr>
  </w:style>
  <w:style w:type="paragraph" w:customStyle="1" w:styleId="a9">
    <w:name w:val="ГОСТ таблица"/>
    <w:basedOn w:val="aa"/>
    <w:qFormat/>
    <w:rsid w:val="00DE31B4"/>
    <w:pPr>
      <w:spacing w:before="120" w:after="120" w:line="300" w:lineRule="auto"/>
    </w:pPr>
    <w:rPr>
      <w:rFonts w:eastAsia="Times New Roman"/>
      <w:lang w:eastAsia="ru-RU"/>
    </w:rPr>
  </w:style>
  <w:style w:type="paragraph" w:styleId="aa">
    <w:name w:val="Normal (Web)"/>
    <w:basedOn w:val="a0"/>
    <w:uiPriority w:val="99"/>
    <w:semiHidden/>
    <w:unhideWhenUsed/>
    <w:rsid w:val="00DE31B4"/>
    <w:rPr>
      <w:rFonts w:cs="Times New Roman"/>
      <w:szCs w:val="24"/>
    </w:rPr>
  </w:style>
  <w:style w:type="paragraph" w:customStyle="1" w:styleId="ab">
    <w:name w:val="ГОСТ таблица внутри"/>
    <w:basedOn w:val="a0"/>
    <w:qFormat/>
    <w:rsid w:val="00DE31B4"/>
    <w:pPr>
      <w:jc w:val="center"/>
    </w:pPr>
    <w:rPr>
      <w:rFonts w:eastAsia="Times New Roman" w:cs="Times New Roman"/>
      <w:sz w:val="20"/>
      <w:szCs w:val="24"/>
      <w:lang w:eastAsia="ru-RU"/>
    </w:rPr>
  </w:style>
  <w:style w:type="paragraph" w:customStyle="1" w:styleId="ac">
    <w:name w:val="ГОСТ текст"/>
    <w:basedOn w:val="a0"/>
    <w:link w:val="ad"/>
    <w:qFormat/>
    <w:rsid w:val="00DE31B4"/>
    <w:pPr>
      <w:spacing w:after="160" w:line="360" w:lineRule="auto"/>
    </w:pPr>
    <w:rPr>
      <w:rFonts w:cs="Times New Roman"/>
      <w:szCs w:val="24"/>
    </w:rPr>
  </w:style>
  <w:style w:type="character" w:customStyle="1" w:styleId="ad">
    <w:name w:val="ГОСТ текст Знак"/>
    <w:basedOn w:val="a1"/>
    <w:link w:val="ac"/>
    <w:rsid w:val="00DE31B4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aliases w:val="в) Подраздел Знак,2 уровень Знак"/>
    <w:basedOn w:val="a1"/>
    <w:link w:val="2"/>
    <w:rsid w:val="00DE31B4"/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г) Пункт Знак,3 уровень Знак"/>
    <w:basedOn w:val="a1"/>
    <w:link w:val="3"/>
    <w:rsid w:val="00DE31B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DE31B4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paragraph" w:customStyle="1" w:styleId="ae">
    <w:name w:val="Основной текст ГОСТ"/>
    <w:basedOn w:val="a0"/>
    <w:link w:val="af"/>
    <w:qFormat/>
    <w:rsid w:val="00DE31B4"/>
    <w:pPr>
      <w:widowControl w:val="0"/>
      <w:autoSpaceDE w:val="0"/>
      <w:autoSpaceDN w:val="0"/>
      <w:adjustRightInd w:val="0"/>
      <w:spacing w:line="360" w:lineRule="auto"/>
      <w:ind w:firstLine="708"/>
    </w:pPr>
    <w:rPr>
      <w:rFonts w:eastAsia="MS ??" w:cs="Arial"/>
      <w:sz w:val="30"/>
      <w:szCs w:val="30"/>
      <w:lang w:eastAsia="ru-RU"/>
    </w:rPr>
  </w:style>
  <w:style w:type="character" w:customStyle="1" w:styleId="af">
    <w:name w:val="Основной текст ГОСТ Знак"/>
    <w:basedOn w:val="a1"/>
    <w:link w:val="ae"/>
    <w:rsid w:val="00DE31B4"/>
    <w:rPr>
      <w:rFonts w:ascii="Times New Roman" w:eastAsia="MS ??" w:hAnsi="Times New Roman" w:cs="Arial"/>
      <w:sz w:val="30"/>
      <w:szCs w:val="30"/>
      <w:lang w:eastAsia="ru-RU"/>
    </w:rPr>
  </w:style>
  <w:style w:type="table" w:styleId="af0">
    <w:name w:val="Table Grid"/>
    <w:basedOn w:val="a2"/>
    <w:uiPriority w:val="39"/>
    <w:rsid w:val="006E52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0"/>
    <w:link w:val="af2"/>
    <w:uiPriority w:val="99"/>
    <w:semiHidden/>
    <w:unhideWhenUsed/>
    <w:rsid w:val="00336124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1"/>
    <w:link w:val="af1"/>
    <w:uiPriority w:val="99"/>
    <w:semiHidden/>
    <w:rsid w:val="00336124"/>
    <w:rPr>
      <w:rFonts w:ascii="Segoe UI" w:hAnsi="Segoe UI" w:cs="Segoe UI"/>
      <w:sz w:val="18"/>
      <w:szCs w:val="18"/>
    </w:rPr>
  </w:style>
  <w:style w:type="paragraph" w:styleId="af3">
    <w:name w:val="header"/>
    <w:basedOn w:val="a0"/>
    <w:link w:val="af4"/>
    <w:uiPriority w:val="99"/>
    <w:unhideWhenUsed/>
    <w:rsid w:val="00FA27E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1"/>
    <w:link w:val="af3"/>
    <w:uiPriority w:val="99"/>
    <w:rsid w:val="00FA27EF"/>
    <w:rPr>
      <w:rFonts w:ascii="Times New Roman" w:hAnsi="Times New Roman"/>
      <w:sz w:val="24"/>
    </w:rPr>
  </w:style>
  <w:style w:type="paragraph" w:styleId="af5">
    <w:name w:val="footer"/>
    <w:basedOn w:val="a0"/>
    <w:link w:val="af6"/>
    <w:uiPriority w:val="99"/>
    <w:unhideWhenUsed/>
    <w:rsid w:val="00FA27E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A27EF"/>
    <w:rPr>
      <w:rFonts w:ascii="Times New Roman" w:hAnsi="Times New Roman"/>
      <w:sz w:val="24"/>
    </w:rPr>
  </w:style>
  <w:style w:type="character" w:styleId="af7">
    <w:name w:val="Placeholder Text"/>
    <w:basedOn w:val="a1"/>
    <w:uiPriority w:val="99"/>
    <w:semiHidden/>
    <w:rsid w:val="00E14C64"/>
    <w:rPr>
      <w:color w:val="808080"/>
    </w:rPr>
  </w:style>
  <w:style w:type="paragraph" w:styleId="af8">
    <w:name w:val="footnote text"/>
    <w:basedOn w:val="a0"/>
    <w:link w:val="af9"/>
    <w:uiPriority w:val="99"/>
    <w:semiHidden/>
    <w:unhideWhenUsed/>
    <w:rsid w:val="002A7DD2"/>
    <w:rPr>
      <w:sz w:val="20"/>
      <w:szCs w:val="20"/>
    </w:rPr>
  </w:style>
  <w:style w:type="character" w:customStyle="1" w:styleId="af9">
    <w:name w:val="Текст сноски Знак"/>
    <w:basedOn w:val="a1"/>
    <w:link w:val="af8"/>
    <w:uiPriority w:val="99"/>
    <w:semiHidden/>
    <w:rsid w:val="002A7DD2"/>
    <w:rPr>
      <w:rFonts w:ascii="Times New Roman" w:hAnsi="Times New Roman"/>
      <w:sz w:val="20"/>
      <w:szCs w:val="20"/>
    </w:rPr>
  </w:style>
  <w:style w:type="character" w:styleId="afa">
    <w:name w:val="footnote reference"/>
    <w:basedOn w:val="a1"/>
    <w:uiPriority w:val="99"/>
    <w:semiHidden/>
    <w:unhideWhenUsed/>
    <w:rsid w:val="002A7DD2"/>
    <w:rPr>
      <w:vertAlign w:val="superscript"/>
    </w:rPr>
  </w:style>
  <w:style w:type="character" w:styleId="afb">
    <w:name w:val="Hyperlink"/>
    <w:basedOn w:val="a1"/>
    <w:uiPriority w:val="99"/>
    <w:unhideWhenUsed/>
    <w:rsid w:val="00255E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pd.hse.ru/data/2019/01/25/1148370891/&#1052;&#1077;&#1090;&#1086;&#1076;%20&#1088;&#1077;&#1082;&#1086;&#1084;&#1077;&#1085;&#1076;_&#1083;&#1091;&#1095;&#1096;&#1080;&#1077;%20&#1087;&#1088;&#1072;&#1082;&#1090;&#1080;&#1082;&#1080;.docx%0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1013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Давыдов Максим Игоревич</dc:creator>
  <cp:keywords/>
  <dc:description/>
  <cp:lastModifiedBy>Давыдов Максим Игоревич</cp:lastModifiedBy>
  <cp:revision>10</cp:revision>
  <cp:lastPrinted>2018-11-14T14:00:00Z</cp:lastPrinted>
  <dcterms:created xsi:type="dcterms:W3CDTF">2019-03-14T16:12:00Z</dcterms:created>
  <dcterms:modified xsi:type="dcterms:W3CDTF">2019-03-20T12:48:00Z</dcterms:modified>
</cp:coreProperties>
</file>